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54AB" w14:textId="77777777" w:rsidR="00B45045" w:rsidRDefault="00B45045">
      <w:pPr>
        <w:sectPr w:rsidR="00B45045">
          <w:headerReference w:type="default" r:id="rId6"/>
          <w:footerReference w:type="default" r:id="rId7"/>
          <w:footerReference w:type="first" r:id="rId8"/>
          <w:pgSz w:w="12240" w:h="15840"/>
          <w:pgMar w:top="840" w:right="1000" w:bottom="840" w:left="1000" w:header="400" w:footer="400" w:gutter="0"/>
          <w:cols w:space="720"/>
          <w:titlePg/>
        </w:sectPr>
      </w:pPr>
    </w:p>
    <w:p w14:paraId="1DEE072E" w14:textId="77777777" w:rsidR="00B45045" w:rsidRDefault="00B45045">
      <w:bookmarkStart w:id="0" w:name="Bookmark_1"/>
      <w:bookmarkEnd w:id="0"/>
    </w:p>
    <w:p w14:paraId="4F962822" w14:textId="77777777" w:rsidR="00B45045" w:rsidRDefault="00FB0C29">
      <w:r>
        <w:rPr>
          <w:rFonts w:ascii="Arial" w:eastAsia="Arial" w:hAnsi="Arial" w:cs="Arial"/>
          <w:color w:val="000000"/>
          <w:sz w:val="18"/>
        </w:rPr>
        <w:t xml:space="preserve">No </w:t>
      </w:r>
      <w:r>
        <w:rPr>
          <w:rFonts w:ascii="Arial" w:eastAsia="Arial" w:hAnsi="Arial" w:cs="Arial"/>
          <w:i/>
          <w:color w:val="000000"/>
          <w:sz w:val="18"/>
        </w:rPr>
        <w:t>Shepard’s</w:t>
      </w:r>
      <w:r>
        <w:rPr>
          <w:rFonts w:ascii="Arial" w:eastAsia="Arial" w:hAnsi="Arial" w:cs="Arial"/>
          <w:color w:val="000000"/>
          <w:sz w:val="18"/>
        </w:rPr>
        <w:t>  Signal™</w:t>
      </w:r>
      <w:r>
        <w:rPr>
          <w:rFonts w:ascii="Arial" w:eastAsia="Arial" w:hAnsi="Arial" w:cs="Arial"/>
          <w:color w:val="000000"/>
          <w:sz w:val="18"/>
        </w:rPr>
        <w:cr/>
        <w:t>As of: October 5, 2018 4:56 PM Z</w:t>
      </w:r>
    </w:p>
    <w:p w14:paraId="4E8E7193" w14:textId="77777777" w:rsidR="00B45045" w:rsidRDefault="00FB0C29">
      <w:pPr>
        <w:widowControl w:val="0"/>
        <w:spacing w:before="240" w:after="200" w:line="340" w:lineRule="atLeast"/>
        <w:jc w:val="center"/>
        <w:outlineLvl w:val="0"/>
        <w:rPr>
          <w:rFonts w:ascii="Arial" w:hAnsi="Arial" w:cs="Arial"/>
          <w:b/>
          <w:bCs/>
          <w:kern w:val="32"/>
          <w:sz w:val="32"/>
          <w:szCs w:val="32"/>
        </w:rPr>
      </w:pPr>
      <w:hyperlink r:id="rId9" w:history="1">
        <w:proofErr w:type="spellStart"/>
        <w:r>
          <w:rPr>
            <w:rFonts w:ascii="Arial" w:eastAsia="Arial" w:hAnsi="Arial" w:cs="Arial"/>
            <w:b/>
            <w:bCs/>
            <w:i/>
            <w:color w:val="0077CC"/>
            <w:kern w:val="32"/>
            <w:sz w:val="28"/>
            <w:szCs w:val="32"/>
            <w:u w:val="single"/>
          </w:rPr>
          <w:t>Hagaman</w:t>
        </w:r>
        <w:proofErr w:type="spellEnd"/>
        <w:r>
          <w:rPr>
            <w:rFonts w:ascii="Arial" w:eastAsia="Arial" w:hAnsi="Arial" w:cs="Arial"/>
            <w:b/>
            <w:bCs/>
            <w:i/>
            <w:color w:val="0077CC"/>
            <w:kern w:val="32"/>
            <w:sz w:val="28"/>
            <w:szCs w:val="32"/>
            <w:u w:val="single"/>
          </w:rPr>
          <w:t xml:space="preserve"> v. </w:t>
        </w:r>
        <w:proofErr w:type="spellStart"/>
        <w:r>
          <w:rPr>
            <w:rFonts w:ascii="Arial" w:eastAsia="Arial" w:hAnsi="Arial" w:cs="Arial"/>
            <w:b/>
            <w:bCs/>
            <w:i/>
            <w:color w:val="0077CC"/>
            <w:kern w:val="32"/>
            <w:sz w:val="28"/>
            <w:szCs w:val="32"/>
            <w:u w:val="single"/>
          </w:rPr>
          <w:t>Hagaman</w:t>
        </w:r>
        <w:proofErr w:type="spellEnd"/>
      </w:hyperlink>
    </w:p>
    <w:p w14:paraId="49A7EA58" w14:textId="77777777" w:rsidR="00B45045" w:rsidRDefault="00FB0C29">
      <w:pPr>
        <w:widowControl w:val="0"/>
        <w:spacing w:before="120" w:line="260" w:lineRule="atLeast"/>
        <w:jc w:val="center"/>
      </w:pPr>
      <w:r>
        <w:rPr>
          <w:rFonts w:ascii="Arial" w:eastAsia="Arial" w:hAnsi="Arial" w:cs="Arial"/>
          <w:color w:val="000000"/>
          <w:sz w:val="20"/>
        </w:rPr>
        <w:t>Superior Court of New Jersey, Appellate Division</w:t>
      </w:r>
    </w:p>
    <w:p w14:paraId="49D618EC" w14:textId="77777777" w:rsidR="00B45045" w:rsidRDefault="00FB0C29">
      <w:pPr>
        <w:widowControl w:val="0"/>
        <w:spacing w:before="120" w:line="260" w:lineRule="atLeast"/>
        <w:jc w:val="center"/>
      </w:pPr>
      <w:r>
        <w:rPr>
          <w:rFonts w:ascii="Arial" w:eastAsia="Arial" w:hAnsi="Arial" w:cs="Arial"/>
          <w:color w:val="000000"/>
          <w:sz w:val="20"/>
        </w:rPr>
        <w:t>November 13, 2006, Submitted; December 5, 2006, Decided</w:t>
      </w:r>
    </w:p>
    <w:p w14:paraId="3586DF3D" w14:textId="77777777" w:rsidR="00B45045" w:rsidRDefault="00FB0C29">
      <w:pPr>
        <w:widowControl w:val="0"/>
        <w:spacing w:before="120" w:line="260" w:lineRule="atLeast"/>
        <w:jc w:val="center"/>
        <w:sectPr w:rsidR="00B45045">
          <w:type w:val="continuous"/>
          <w:pgSz w:w="12240" w:h="15840"/>
          <w:pgMar w:top="840" w:right="1000" w:bottom="840" w:left="1000" w:header="400" w:footer="400" w:gutter="0"/>
          <w:cols w:space="240"/>
        </w:sectPr>
      </w:pPr>
      <w:r>
        <w:rPr>
          <w:rFonts w:ascii="Arial" w:eastAsia="Arial" w:hAnsi="Arial" w:cs="Arial"/>
          <w:color w:val="000000"/>
          <w:sz w:val="20"/>
        </w:rPr>
        <w:t>DOCKET NO. A-</w:t>
      </w:r>
      <w:bookmarkStart w:id="1" w:name="_Hlk526507876"/>
      <w:bookmarkStart w:id="2" w:name="_GoBack"/>
      <w:r>
        <w:rPr>
          <w:rFonts w:ascii="Arial" w:eastAsia="Arial" w:hAnsi="Arial" w:cs="Arial"/>
          <w:color w:val="000000"/>
          <w:sz w:val="20"/>
        </w:rPr>
        <w:t>0546-05T1</w:t>
      </w:r>
      <w:bookmarkEnd w:id="1"/>
      <w:bookmarkEnd w:id="2"/>
    </w:p>
    <w:p w14:paraId="122F0845" w14:textId="77777777" w:rsidR="00B45045" w:rsidRDefault="00B45045">
      <w:pPr>
        <w:widowControl w:val="0"/>
        <w:spacing w:line="240" w:lineRule="atLeast"/>
        <w:jc w:val="both"/>
      </w:pPr>
    </w:p>
    <w:p w14:paraId="315D0221" w14:textId="77777777" w:rsidR="00B45045" w:rsidRDefault="00FB0C29">
      <w:pPr>
        <w:widowControl w:val="0"/>
        <w:spacing w:before="200" w:line="240" w:lineRule="atLeast"/>
      </w:pPr>
      <w:bookmarkStart w:id="3" w:name="Reporter"/>
      <w:bookmarkEnd w:id="3"/>
      <w:r>
        <w:rPr>
          <w:rFonts w:ascii="Arial" w:eastAsia="Arial" w:hAnsi="Arial" w:cs="Arial"/>
          <w:b/>
          <w:color w:val="000000"/>
          <w:sz w:val="18"/>
        </w:rPr>
        <w:t>Reporter</w:t>
      </w:r>
    </w:p>
    <w:p w14:paraId="58277544" w14:textId="77777777" w:rsidR="00B45045" w:rsidRDefault="00FB0C29">
      <w:pPr>
        <w:widowControl w:val="0"/>
        <w:spacing w:line="240" w:lineRule="atLeast"/>
        <w:sectPr w:rsidR="00B45045">
          <w:type w:val="continuous"/>
          <w:pgSz w:w="12240" w:h="15840"/>
          <w:pgMar w:top="840" w:right="1000" w:bottom="840" w:left="1000" w:header="400" w:footer="400" w:gutter="0"/>
          <w:cols w:space="240"/>
        </w:sectPr>
      </w:pPr>
      <w:r>
        <w:rPr>
          <w:rFonts w:ascii="Arial" w:eastAsia="Arial" w:hAnsi="Arial" w:cs="Arial"/>
          <w:color w:val="000000"/>
          <w:sz w:val="18"/>
        </w:rPr>
        <w:t xml:space="preserve">2006 N.J. Super. </w:t>
      </w:r>
      <w:proofErr w:type="spellStart"/>
      <w:r>
        <w:rPr>
          <w:rFonts w:ascii="Arial" w:eastAsia="Arial" w:hAnsi="Arial" w:cs="Arial"/>
          <w:color w:val="000000"/>
          <w:sz w:val="18"/>
        </w:rPr>
        <w:t>Unpub</w:t>
      </w:r>
      <w:proofErr w:type="spellEnd"/>
      <w:r>
        <w:rPr>
          <w:rFonts w:ascii="Arial" w:eastAsia="Arial" w:hAnsi="Arial" w:cs="Arial"/>
          <w:color w:val="000000"/>
          <w:sz w:val="18"/>
        </w:rPr>
        <w:t>. LEXIS 1384 *; 2006 WL 3487139</w:t>
      </w:r>
    </w:p>
    <w:p w14:paraId="7CCAA444" w14:textId="77777777" w:rsidR="00B45045" w:rsidRDefault="00FB0C29">
      <w:pPr>
        <w:widowControl w:val="0"/>
        <w:spacing w:before="120" w:line="260" w:lineRule="atLeast"/>
      </w:pPr>
      <w:r>
        <w:rPr>
          <w:rFonts w:ascii="Arial" w:eastAsia="Arial" w:hAnsi="Arial" w:cs="Arial"/>
          <w:color w:val="000000"/>
          <w:sz w:val="20"/>
        </w:rPr>
        <w:t>ADRIANNE HAGAMAN, Plaintiff-Respondent, v. CHARLES HAGAMAN, Defendant-Appellant.</w:t>
      </w:r>
    </w:p>
    <w:p w14:paraId="050CBA7F" w14:textId="77777777" w:rsidR="00B45045" w:rsidRDefault="00FB0C29">
      <w:pPr>
        <w:widowControl w:val="0"/>
        <w:spacing w:before="240" w:line="260" w:lineRule="atLeast"/>
        <w:jc w:val="both"/>
      </w:pPr>
      <w:bookmarkStart w:id="4" w:name="Notice"/>
      <w:bookmarkEnd w:id="4"/>
      <w:r>
        <w:rPr>
          <w:rFonts w:ascii="Arial" w:eastAsia="Arial" w:hAnsi="Arial" w:cs="Arial"/>
          <w:b/>
          <w:color w:val="000000"/>
          <w:sz w:val="20"/>
        </w:rPr>
        <w:t>Notice:</w:t>
      </w:r>
      <w:r>
        <w:rPr>
          <w:rFonts w:ascii="Arial" w:eastAsia="Arial" w:hAnsi="Arial" w:cs="Arial"/>
          <w:color w:val="000000"/>
          <w:sz w:val="20"/>
        </w:rPr>
        <w:t> </w:t>
      </w:r>
      <w:bookmarkStart w:id="5" w:name="Bookmark_para_1"/>
      <w:bookmarkEnd w:id="5"/>
      <w:r>
        <w:rPr>
          <w:rFonts w:ascii="Arial" w:eastAsia="Arial" w:hAnsi="Arial" w:cs="Arial"/>
          <w:color w:val="000000"/>
          <w:sz w:val="20"/>
        </w:rPr>
        <w:t xml:space="preserve">NOT FOR PUBLICATION WITHOUT THE APPROVAL OF </w:t>
      </w:r>
      <w:r>
        <w:rPr>
          <w:rFonts w:ascii="Arial" w:eastAsia="Arial" w:hAnsi="Arial" w:cs="Arial"/>
          <w:color w:val="000000"/>
          <w:sz w:val="20"/>
        </w:rPr>
        <w:t>THE APPELLATE DIVISION.</w:t>
      </w:r>
    </w:p>
    <w:p w14:paraId="545B3BEE" w14:textId="77777777" w:rsidR="00B45045" w:rsidRDefault="00FB0C29">
      <w:pPr>
        <w:widowControl w:val="0"/>
        <w:spacing w:before="200" w:line="260" w:lineRule="atLeast"/>
        <w:jc w:val="both"/>
      </w:pPr>
      <w:bookmarkStart w:id="6" w:name="Bookmark_para_2"/>
      <w:bookmarkEnd w:id="6"/>
      <w:r>
        <w:rPr>
          <w:rFonts w:ascii="Arial" w:eastAsia="Arial" w:hAnsi="Arial" w:cs="Arial"/>
          <w:color w:val="000000"/>
          <w:sz w:val="20"/>
        </w:rPr>
        <w:t>PLEASE CONSULT NEW JERSEY RULE 1:36-3 FOR CITATION OF UNPUBLISHED OPINIONS.</w:t>
      </w:r>
    </w:p>
    <w:p w14:paraId="4B16F03A" w14:textId="77777777" w:rsidR="00B45045" w:rsidRDefault="00FB0C29">
      <w:pPr>
        <w:widowControl w:val="0"/>
        <w:spacing w:before="240" w:line="260" w:lineRule="atLeast"/>
        <w:jc w:val="both"/>
      </w:pPr>
      <w:bookmarkStart w:id="7" w:name="Prior_History"/>
      <w:bookmarkEnd w:id="7"/>
      <w:r>
        <w:rPr>
          <w:rFonts w:ascii="Arial" w:eastAsia="Arial" w:hAnsi="Arial" w:cs="Arial"/>
          <w:b/>
          <w:color w:val="000000"/>
          <w:sz w:val="20"/>
        </w:rPr>
        <w:t>Prior History:</w:t>
      </w:r>
      <w:r>
        <w:rPr>
          <w:rFonts w:ascii="Arial" w:eastAsia="Arial" w:hAnsi="Arial" w:cs="Arial"/>
          <w:color w:val="000000"/>
          <w:sz w:val="20"/>
        </w:rPr>
        <w:t> </w:t>
      </w:r>
      <w:r>
        <w:rPr>
          <w:rFonts w:ascii="Arial" w:eastAsia="Arial" w:hAnsi="Arial" w:cs="Arial"/>
          <w:b/>
          <w:color w:val="000000"/>
          <w:sz w:val="20"/>
        </w:rPr>
        <w:t> [*1] </w:t>
      </w:r>
      <w:bookmarkStart w:id="8" w:name="Bookmark_para_3"/>
      <w:bookmarkEnd w:id="8"/>
      <w:r>
        <w:rPr>
          <w:rFonts w:ascii="Arial" w:eastAsia="Arial" w:hAnsi="Arial" w:cs="Arial"/>
          <w:color w:val="000000"/>
          <w:sz w:val="20"/>
        </w:rPr>
        <w:t>On appeal from the Superior Court of New Jersey, Chancery Division, Family Part, Essex County, Docket No. FM-7-2583-04.</w:t>
      </w:r>
    </w:p>
    <w:p w14:paraId="4A0AC7F2" w14:textId="77777777" w:rsidR="00B45045" w:rsidRDefault="00FB0C29">
      <w:pPr>
        <w:keepNext/>
        <w:widowControl w:val="0"/>
        <w:spacing w:before="240" w:line="340" w:lineRule="atLeast"/>
      </w:pPr>
      <w:bookmarkStart w:id="9" w:name="Core_Terms"/>
      <w:bookmarkEnd w:id="9"/>
      <w:r>
        <w:rPr>
          <w:rFonts w:ascii="Arial" w:eastAsia="Arial" w:hAnsi="Arial" w:cs="Arial"/>
          <w:b/>
          <w:color w:val="000000"/>
          <w:sz w:val="28"/>
        </w:rPr>
        <w:t>Core Terms</w:t>
      </w:r>
    </w:p>
    <w:p w14:paraId="1AA577D1" w14:textId="77777777" w:rsidR="00B45045" w:rsidRDefault="00FB0C29">
      <w:pPr>
        <w:spacing w:line="60" w:lineRule="exact"/>
      </w:pPr>
      <w:r>
        <w:pict w14:anchorId="04F2DECA">
          <v:line id="_x0000_s1026" style="position:absolute;z-index:251658240" from="0,2pt" to="251pt,2pt" strokecolor="#009ddb" strokeweight="2pt">
            <w10:wrap type="topAndBottom"/>
          </v:line>
        </w:pict>
      </w:r>
    </w:p>
    <w:p w14:paraId="58F24BCA" w14:textId="77777777" w:rsidR="00B45045" w:rsidRDefault="00FB0C29">
      <w:pPr>
        <w:widowControl w:val="0"/>
        <w:spacing w:before="120" w:line="260" w:lineRule="atLeast"/>
      </w:pPr>
      <w:r>
        <w:rPr>
          <w:rFonts w:ascii="Arial" w:eastAsia="Arial" w:hAnsi="Arial" w:cs="Arial"/>
          <w:color w:val="000000"/>
          <w:sz w:val="20"/>
        </w:rPr>
        <w:t>notice, suppression, equitable distribution, divorce</w:t>
      </w:r>
    </w:p>
    <w:p w14:paraId="62526D6E" w14:textId="77777777" w:rsidR="00B45045" w:rsidRDefault="00FB0C29">
      <w:pPr>
        <w:widowControl w:val="0"/>
        <w:spacing w:before="240" w:line="260" w:lineRule="atLeast"/>
      </w:pPr>
      <w:bookmarkStart w:id="10" w:name="Counsel"/>
      <w:bookmarkEnd w:id="10"/>
      <w:r>
        <w:rPr>
          <w:rFonts w:ascii="Arial" w:eastAsia="Arial" w:hAnsi="Arial" w:cs="Arial"/>
          <w:b/>
          <w:color w:val="000000"/>
          <w:sz w:val="20"/>
        </w:rPr>
        <w:t>Counsel:</w:t>
      </w:r>
      <w:r>
        <w:rPr>
          <w:rFonts w:ascii="Arial" w:eastAsia="Arial" w:hAnsi="Arial" w:cs="Arial"/>
          <w:color w:val="000000"/>
          <w:sz w:val="20"/>
        </w:rPr>
        <w:t xml:space="preserve"> Elliot H. </w:t>
      </w:r>
      <w:r>
        <w:rPr>
          <w:rFonts w:ascii="Arial" w:eastAsia="Arial" w:hAnsi="Arial" w:cs="Arial"/>
          <w:b/>
          <w:i/>
          <w:color w:val="000000"/>
          <w:sz w:val="20"/>
          <w:u w:val="single"/>
        </w:rPr>
        <w:t>Gourvitz</w:t>
      </w:r>
      <w:r>
        <w:rPr>
          <w:rFonts w:ascii="Arial" w:eastAsia="Arial" w:hAnsi="Arial" w:cs="Arial"/>
          <w:color w:val="000000"/>
          <w:sz w:val="20"/>
        </w:rPr>
        <w:t xml:space="preserve">, attorney for appellant (Mr. </w:t>
      </w:r>
      <w:r>
        <w:rPr>
          <w:rFonts w:ascii="Arial" w:eastAsia="Arial" w:hAnsi="Arial" w:cs="Arial"/>
          <w:b/>
          <w:i/>
          <w:color w:val="000000"/>
          <w:sz w:val="20"/>
          <w:u w:val="single"/>
        </w:rPr>
        <w:t>Gourvitz</w:t>
      </w:r>
      <w:r>
        <w:rPr>
          <w:rFonts w:ascii="Arial" w:eastAsia="Arial" w:hAnsi="Arial" w:cs="Arial"/>
          <w:color w:val="000000"/>
          <w:sz w:val="20"/>
        </w:rPr>
        <w:t xml:space="preserve"> and Ari H. </w:t>
      </w:r>
      <w:r>
        <w:rPr>
          <w:rFonts w:ascii="Arial" w:eastAsia="Arial" w:hAnsi="Arial" w:cs="Arial"/>
          <w:b/>
          <w:i/>
          <w:color w:val="000000"/>
          <w:sz w:val="20"/>
          <w:u w:val="single"/>
        </w:rPr>
        <w:t>Gourvitz</w:t>
      </w:r>
      <w:r>
        <w:rPr>
          <w:rFonts w:ascii="Arial" w:eastAsia="Arial" w:hAnsi="Arial" w:cs="Arial"/>
          <w:color w:val="000000"/>
          <w:sz w:val="20"/>
        </w:rPr>
        <w:t>, on the brief).</w:t>
      </w:r>
    </w:p>
    <w:p w14:paraId="0F3D0821" w14:textId="77777777" w:rsidR="00B45045" w:rsidRDefault="00FB0C29">
      <w:pPr>
        <w:widowControl w:val="0"/>
        <w:spacing w:before="120" w:line="260" w:lineRule="atLeast"/>
      </w:pPr>
      <w:r>
        <w:rPr>
          <w:rFonts w:ascii="Arial" w:eastAsia="Arial" w:hAnsi="Arial" w:cs="Arial"/>
          <w:color w:val="000000"/>
          <w:sz w:val="20"/>
        </w:rPr>
        <w:t>Respondent did not file a brief.</w:t>
      </w:r>
    </w:p>
    <w:p w14:paraId="336D946F" w14:textId="77777777" w:rsidR="00B45045" w:rsidRDefault="00FB0C29">
      <w:pPr>
        <w:widowControl w:val="0"/>
        <w:spacing w:before="240" w:line="260" w:lineRule="atLeast"/>
      </w:pPr>
      <w:bookmarkStart w:id="11" w:name="Judges"/>
      <w:bookmarkEnd w:id="11"/>
      <w:r>
        <w:rPr>
          <w:rFonts w:ascii="Arial" w:eastAsia="Arial" w:hAnsi="Arial" w:cs="Arial"/>
          <w:b/>
          <w:color w:val="000000"/>
          <w:sz w:val="20"/>
        </w:rPr>
        <w:t>Judges:</w:t>
      </w:r>
      <w:r>
        <w:rPr>
          <w:rFonts w:ascii="Arial" w:eastAsia="Arial" w:hAnsi="Arial" w:cs="Arial"/>
          <w:color w:val="000000"/>
          <w:sz w:val="20"/>
        </w:rPr>
        <w:t xml:space="preserve"> Before Judges S.L. Reisner and C.L. </w:t>
      </w:r>
      <w:proofErr w:type="spellStart"/>
      <w:r>
        <w:rPr>
          <w:rFonts w:ascii="Arial" w:eastAsia="Arial" w:hAnsi="Arial" w:cs="Arial"/>
          <w:color w:val="000000"/>
          <w:sz w:val="20"/>
        </w:rPr>
        <w:t>Miniman</w:t>
      </w:r>
      <w:proofErr w:type="spellEnd"/>
      <w:r>
        <w:rPr>
          <w:rFonts w:ascii="Arial" w:eastAsia="Arial" w:hAnsi="Arial" w:cs="Arial"/>
          <w:color w:val="000000"/>
          <w:sz w:val="20"/>
        </w:rPr>
        <w:t>.</w:t>
      </w:r>
    </w:p>
    <w:p w14:paraId="0DE433E1" w14:textId="77777777" w:rsidR="00B45045" w:rsidRDefault="00FB0C29">
      <w:pPr>
        <w:keepNext/>
        <w:widowControl w:val="0"/>
        <w:spacing w:before="240" w:line="340" w:lineRule="atLeast"/>
      </w:pPr>
      <w:bookmarkStart w:id="12" w:name="Opinion"/>
      <w:bookmarkEnd w:id="12"/>
      <w:r>
        <w:rPr>
          <w:rFonts w:ascii="Arial" w:eastAsia="Arial" w:hAnsi="Arial" w:cs="Arial"/>
          <w:b/>
          <w:color w:val="000000"/>
          <w:sz w:val="28"/>
        </w:rPr>
        <w:t>Opinion</w:t>
      </w:r>
    </w:p>
    <w:p w14:paraId="06A6F225" w14:textId="77777777" w:rsidR="00B45045" w:rsidRDefault="00FB0C29">
      <w:pPr>
        <w:spacing w:line="60" w:lineRule="exact"/>
      </w:pPr>
      <w:r>
        <w:pict w14:anchorId="745993EB">
          <v:line id="_x0000_s1027" style="position:absolute;z-index:251659264" from="0,2pt" to="251pt,2pt" strokecolor="#009ddb" strokeweight="2pt">
            <w10:wrap type="topAndBottom"/>
          </v:line>
        </w:pict>
      </w:r>
    </w:p>
    <w:p w14:paraId="4DA419C8" w14:textId="77777777" w:rsidR="00B45045" w:rsidRDefault="00B45045"/>
    <w:p w14:paraId="2B7DEB2B" w14:textId="77777777" w:rsidR="00B45045" w:rsidRDefault="00FB0C29">
      <w:pPr>
        <w:widowControl w:val="0"/>
        <w:spacing w:before="200" w:line="260" w:lineRule="atLeast"/>
        <w:jc w:val="both"/>
      </w:pPr>
      <w:bookmarkStart w:id="13" w:name="Bookmark_para_4"/>
      <w:bookmarkEnd w:id="13"/>
      <w:r>
        <w:rPr>
          <w:rFonts w:ascii="Arial" w:eastAsia="Arial" w:hAnsi="Arial" w:cs="Arial"/>
          <w:color w:val="000000"/>
          <w:sz w:val="20"/>
        </w:rPr>
        <w:t xml:space="preserve">PER </w:t>
      </w:r>
      <w:r>
        <w:rPr>
          <w:rFonts w:ascii="Arial" w:eastAsia="Arial" w:hAnsi="Arial" w:cs="Arial"/>
          <w:color w:val="000000"/>
          <w:sz w:val="20"/>
        </w:rPr>
        <w:t>CURIAM</w:t>
      </w:r>
    </w:p>
    <w:p w14:paraId="18B39E79" w14:textId="77777777" w:rsidR="00B45045" w:rsidRDefault="00FB0C29">
      <w:pPr>
        <w:widowControl w:val="0"/>
        <w:spacing w:before="200" w:line="260" w:lineRule="atLeast"/>
        <w:jc w:val="both"/>
      </w:pPr>
      <w:bookmarkStart w:id="14" w:name="Bookmark_para_5"/>
      <w:bookmarkEnd w:id="14"/>
      <w:r>
        <w:rPr>
          <w:rFonts w:ascii="Arial" w:eastAsia="Arial" w:hAnsi="Arial" w:cs="Arial"/>
          <w:color w:val="000000"/>
          <w:sz w:val="20"/>
        </w:rPr>
        <w:t xml:space="preserve">Defendant Charles </w:t>
      </w:r>
      <w:proofErr w:type="spellStart"/>
      <w:r>
        <w:rPr>
          <w:rFonts w:ascii="Arial" w:eastAsia="Arial" w:hAnsi="Arial" w:cs="Arial"/>
          <w:color w:val="000000"/>
          <w:sz w:val="20"/>
        </w:rPr>
        <w:t>Hagaman</w:t>
      </w:r>
      <w:proofErr w:type="spellEnd"/>
      <w:r>
        <w:rPr>
          <w:rFonts w:ascii="Arial" w:eastAsia="Arial" w:hAnsi="Arial" w:cs="Arial"/>
          <w:color w:val="000000"/>
          <w:sz w:val="20"/>
        </w:rPr>
        <w:t xml:space="preserve"> appeals from the entry of a final judgment of divorce by default, which determined all issues including alimony and equitable distribution. Plaintiff Adrianne </w:t>
      </w:r>
      <w:proofErr w:type="spellStart"/>
      <w:r>
        <w:rPr>
          <w:rFonts w:ascii="Arial" w:eastAsia="Arial" w:hAnsi="Arial" w:cs="Arial"/>
          <w:color w:val="000000"/>
          <w:sz w:val="20"/>
        </w:rPr>
        <w:t>Hagaman</w:t>
      </w:r>
      <w:proofErr w:type="spellEnd"/>
      <w:r>
        <w:rPr>
          <w:rFonts w:ascii="Arial" w:eastAsia="Arial" w:hAnsi="Arial" w:cs="Arial"/>
          <w:color w:val="000000"/>
          <w:sz w:val="20"/>
        </w:rPr>
        <w:t xml:space="preserve"> has not participated in this appeal. We affirm.</w:t>
      </w:r>
    </w:p>
    <w:p w14:paraId="3DD3573B" w14:textId="77777777" w:rsidR="00B45045" w:rsidRDefault="00FB0C29">
      <w:pPr>
        <w:widowControl w:val="0"/>
        <w:spacing w:before="200" w:line="260" w:lineRule="atLeast"/>
        <w:jc w:val="both"/>
      </w:pPr>
      <w:bookmarkStart w:id="15" w:name="Bookmark_para_6"/>
      <w:bookmarkEnd w:id="15"/>
      <w:r>
        <w:rPr>
          <w:rFonts w:ascii="Arial" w:eastAsia="Arial" w:hAnsi="Arial" w:cs="Arial"/>
          <w:color w:val="000000"/>
          <w:sz w:val="20"/>
        </w:rPr>
        <w:t>Adrianne</w:t>
      </w:r>
      <w:r>
        <w:rPr>
          <w:rFonts w:ascii="Arial" w:eastAsia="Arial" w:hAnsi="Arial" w:cs="Arial"/>
          <w:color w:val="000000"/>
          <w:sz w:val="20"/>
        </w:rPr>
        <w:t xml:space="preserve"> filed a complaint for divorce based on extreme cruelty on May 26, 2004, and Charles filed an answer in July 2004. On September 7, 2004, the court scheduled 120 days for discovery. However, Charles failed to provide discovery and Adrianne filed a motion to</w:t>
      </w:r>
      <w:r>
        <w:rPr>
          <w:rFonts w:ascii="Arial" w:eastAsia="Arial" w:hAnsi="Arial" w:cs="Arial"/>
          <w:color w:val="000000"/>
          <w:sz w:val="20"/>
        </w:rPr>
        <w:t xml:space="preserve"> </w:t>
      </w:r>
      <w:r>
        <w:rPr>
          <w:rFonts w:ascii="Arial" w:eastAsia="Arial" w:hAnsi="Arial" w:cs="Arial"/>
          <w:color w:val="000000"/>
          <w:sz w:val="20"/>
        </w:rPr>
        <w:t>suppress his answer returnable on November 19, 2004. On January 7, 2005, Charles' answer was stricken and his defenses were suppressed without prejudice for failure to provide discovery. That order did not galvanize Charles into action, and a second motio</w:t>
      </w:r>
      <w:r>
        <w:rPr>
          <w:rFonts w:ascii="Arial" w:eastAsia="Arial" w:hAnsi="Arial" w:cs="Arial"/>
          <w:color w:val="000000"/>
          <w:sz w:val="20"/>
        </w:rPr>
        <w:t xml:space="preserve">n was filed returnable April 7, 2005, to dismiss Charles' answer with prejudice. That relief was granted on April 1, 2005. On July 19, 2005, Adrianne </w:t>
      </w:r>
      <w:r>
        <w:rPr>
          <w:rFonts w:ascii="Arial" w:eastAsia="Arial" w:hAnsi="Arial" w:cs="Arial"/>
          <w:b/>
          <w:color w:val="000000"/>
          <w:sz w:val="20"/>
        </w:rPr>
        <w:t> [*2] </w:t>
      </w:r>
      <w:r>
        <w:rPr>
          <w:rFonts w:ascii="Arial" w:eastAsia="Arial" w:hAnsi="Arial" w:cs="Arial"/>
          <w:color w:val="000000"/>
          <w:sz w:val="20"/>
        </w:rPr>
        <w:t>filed a notice of application for equitable distribution and other relief returnable on August 15, 2</w:t>
      </w:r>
      <w:r>
        <w:rPr>
          <w:rFonts w:ascii="Arial" w:eastAsia="Arial" w:hAnsi="Arial" w:cs="Arial"/>
          <w:color w:val="000000"/>
          <w:sz w:val="20"/>
        </w:rPr>
        <w:t>005.</w:t>
      </w:r>
    </w:p>
    <w:p w14:paraId="6FC65303" w14:textId="77777777" w:rsidR="00B45045" w:rsidRDefault="00FB0C29">
      <w:pPr>
        <w:widowControl w:val="0"/>
        <w:spacing w:before="200" w:line="260" w:lineRule="atLeast"/>
        <w:jc w:val="both"/>
      </w:pPr>
      <w:bookmarkStart w:id="16" w:name="Bookmark_para_7"/>
      <w:bookmarkEnd w:id="16"/>
      <w:r>
        <w:rPr>
          <w:rFonts w:ascii="Arial" w:eastAsia="Arial" w:hAnsi="Arial" w:cs="Arial"/>
          <w:color w:val="000000"/>
          <w:sz w:val="20"/>
        </w:rPr>
        <w:t>On August 8, 2005, Charles' attorney signed a certification in opposition to the notice of application for equitable distribution. In that certification he stated:</w:t>
      </w:r>
    </w:p>
    <w:p w14:paraId="266B9F77" w14:textId="77777777" w:rsidR="00B45045" w:rsidRDefault="00FB0C29">
      <w:pPr>
        <w:widowControl w:val="0"/>
        <w:spacing w:line="260" w:lineRule="atLeast"/>
        <w:ind w:left="400"/>
        <w:jc w:val="both"/>
      </w:pPr>
      <w:bookmarkStart w:id="17" w:name="Bookmark_para_8"/>
      <w:bookmarkEnd w:id="17"/>
      <w:r>
        <w:rPr>
          <w:rFonts w:ascii="Arial" w:eastAsia="Arial" w:hAnsi="Arial" w:cs="Arial"/>
          <w:color w:val="000000"/>
          <w:sz w:val="20"/>
        </w:rPr>
        <w:t>My information comes from my client who had had a meeting at the end of July. Before th</w:t>
      </w:r>
      <w:r>
        <w:rPr>
          <w:rFonts w:ascii="Arial" w:eastAsia="Arial" w:hAnsi="Arial" w:cs="Arial"/>
          <w:color w:val="000000"/>
          <w:sz w:val="20"/>
        </w:rPr>
        <w:t>at date, he had not contacted me since October 2004, despite many letters that I have sent to him concerning other applications before the [c]</w:t>
      </w:r>
      <w:proofErr w:type="spellStart"/>
      <w:r>
        <w:rPr>
          <w:rFonts w:ascii="Arial" w:eastAsia="Arial" w:hAnsi="Arial" w:cs="Arial"/>
          <w:color w:val="000000"/>
          <w:sz w:val="20"/>
        </w:rPr>
        <w:t>ourt</w:t>
      </w:r>
      <w:proofErr w:type="spellEnd"/>
      <w:r>
        <w:rPr>
          <w:rFonts w:ascii="Arial" w:eastAsia="Arial" w:hAnsi="Arial" w:cs="Arial"/>
          <w:color w:val="000000"/>
          <w:sz w:val="20"/>
        </w:rPr>
        <w:t>. He has informed me, and I am trying to verify this by getting reports from doctors, that he has been clinica</w:t>
      </w:r>
      <w:r>
        <w:rPr>
          <w:rFonts w:ascii="Arial" w:eastAsia="Arial" w:hAnsi="Arial" w:cs="Arial"/>
          <w:color w:val="000000"/>
          <w:sz w:val="20"/>
        </w:rPr>
        <w:t>lly depressed since his wife has left him and he lost his job, and has been unable to function. He told me that all of my letters, as well as all of his other mail have gone unopened in various boxes in his house, which he rarely leaves.</w:t>
      </w:r>
    </w:p>
    <w:p w14:paraId="09D15800" w14:textId="77777777" w:rsidR="00B45045" w:rsidRDefault="00FB0C29">
      <w:pPr>
        <w:widowControl w:val="0"/>
        <w:spacing w:line="260" w:lineRule="atLeast"/>
        <w:jc w:val="both"/>
      </w:pPr>
      <w:r>
        <w:rPr>
          <w:rFonts w:ascii="Arial" w:eastAsia="Arial" w:hAnsi="Arial" w:cs="Arial"/>
          <w:color w:val="000000"/>
          <w:sz w:val="20"/>
        </w:rPr>
        <w:t>Charles' counsel t</w:t>
      </w:r>
      <w:r>
        <w:rPr>
          <w:rFonts w:ascii="Arial" w:eastAsia="Arial" w:hAnsi="Arial" w:cs="Arial"/>
          <w:color w:val="000000"/>
          <w:sz w:val="20"/>
        </w:rPr>
        <w:t>hen addressed several of the assets and took positions with respect to equitable distribution of them.</w:t>
      </w:r>
    </w:p>
    <w:p w14:paraId="3F299B37" w14:textId="77777777" w:rsidR="00B45045" w:rsidRDefault="00FB0C29">
      <w:pPr>
        <w:widowControl w:val="0"/>
        <w:spacing w:before="200" w:line="260" w:lineRule="atLeast"/>
        <w:jc w:val="both"/>
      </w:pPr>
      <w:bookmarkStart w:id="18" w:name="Bookmark_para_9"/>
      <w:bookmarkEnd w:id="18"/>
      <w:r>
        <w:rPr>
          <w:rFonts w:ascii="Arial" w:eastAsia="Arial" w:hAnsi="Arial" w:cs="Arial"/>
          <w:color w:val="000000"/>
          <w:sz w:val="20"/>
        </w:rPr>
        <w:t xml:space="preserve">Charles did not sign a certification nor did he move for relief under </w:t>
      </w:r>
      <w:hyperlink r:id="rId10" w:history="1">
        <w:r>
          <w:rPr>
            <w:rFonts w:ascii="Arial" w:eastAsia="Arial" w:hAnsi="Arial" w:cs="Arial"/>
            <w:i/>
            <w:color w:val="0077CC"/>
            <w:sz w:val="20"/>
            <w:u w:val="single"/>
          </w:rPr>
          <w:t>R.</w:t>
        </w:r>
      </w:hyperlink>
      <w:hyperlink r:id="rId11" w:history="1">
        <w:r>
          <w:rPr>
            <w:rFonts w:ascii="Arial" w:eastAsia="Arial" w:hAnsi="Arial" w:cs="Arial"/>
            <w:i/>
            <w:color w:val="0077CC"/>
            <w:sz w:val="20"/>
            <w:u w:val="single"/>
          </w:rPr>
          <w:t xml:space="preserve"> 4:50-1</w:t>
        </w:r>
      </w:hyperlink>
      <w:r>
        <w:rPr>
          <w:rFonts w:ascii="Arial" w:eastAsia="Arial" w:hAnsi="Arial" w:cs="Arial"/>
          <w:color w:val="000000"/>
          <w:sz w:val="20"/>
        </w:rPr>
        <w:t xml:space="preserve"> from the order striking his answer and suppressing his defenses with prejudice. He did not submit a certification from a physician attesting to his clinical </w:t>
      </w:r>
      <w:r>
        <w:rPr>
          <w:rFonts w:ascii="Arial" w:eastAsia="Arial" w:hAnsi="Arial" w:cs="Arial"/>
          <w:b/>
          <w:color w:val="000000"/>
          <w:sz w:val="20"/>
        </w:rPr>
        <w:t> [*3] </w:t>
      </w:r>
      <w:r>
        <w:rPr>
          <w:rFonts w:ascii="Arial" w:eastAsia="Arial" w:hAnsi="Arial" w:cs="Arial"/>
          <w:color w:val="000000"/>
          <w:sz w:val="20"/>
        </w:rPr>
        <w:t xml:space="preserve">depression and inability to participate in the litigation. Instead, Charles and his counsel </w:t>
      </w:r>
      <w:r>
        <w:rPr>
          <w:rFonts w:ascii="Arial" w:eastAsia="Arial" w:hAnsi="Arial" w:cs="Arial"/>
          <w:color w:val="000000"/>
          <w:sz w:val="20"/>
        </w:rPr>
        <w:t>appeared on the date set for equitable distribution. The attorney made a verbal application to vacate the default on the ground that Charles had been in deep clinical depression.</w:t>
      </w:r>
    </w:p>
    <w:p w14:paraId="3A34750E" w14:textId="77777777" w:rsidR="00B45045" w:rsidRDefault="00FB0C29">
      <w:pPr>
        <w:widowControl w:val="0"/>
        <w:spacing w:before="200" w:line="260" w:lineRule="atLeast"/>
        <w:jc w:val="both"/>
      </w:pPr>
      <w:bookmarkStart w:id="19" w:name="Bookmark_para_10"/>
      <w:bookmarkEnd w:id="19"/>
      <w:r>
        <w:rPr>
          <w:rFonts w:ascii="Arial" w:eastAsia="Arial" w:hAnsi="Arial" w:cs="Arial"/>
          <w:color w:val="000000"/>
          <w:sz w:val="20"/>
        </w:rPr>
        <w:lastRenderedPageBreak/>
        <w:t xml:space="preserve">The court did not entertain the application but gave counsel and his client </w:t>
      </w:r>
      <w:r>
        <w:rPr>
          <w:rFonts w:ascii="Arial" w:eastAsia="Arial" w:hAnsi="Arial" w:cs="Arial"/>
          <w:color w:val="000000"/>
          <w:sz w:val="20"/>
        </w:rPr>
        <w:t>half an hour to confer with plaintiff's counsel and attempt to settle the case. Charles' counsel replied that a settlement offer had already been made but had not been accepted and asked for a two-week adjournment in order to obtain some limited discovery.</w:t>
      </w:r>
      <w:r>
        <w:rPr>
          <w:rFonts w:ascii="Arial" w:eastAsia="Arial" w:hAnsi="Arial" w:cs="Arial"/>
          <w:color w:val="000000"/>
          <w:sz w:val="20"/>
        </w:rPr>
        <w:t xml:space="preserve"> The court refused to carry the matter. The court then took testimony from Adrianne and reserved decision on the distribution of assets. The court issued an opinion on August 26, 2005, and the final judgment of divorce was entered that day. A timely appeal</w:t>
      </w:r>
      <w:r>
        <w:rPr>
          <w:rFonts w:ascii="Arial" w:eastAsia="Arial" w:hAnsi="Arial" w:cs="Arial"/>
          <w:color w:val="000000"/>
          <w:sz w:val="20"/>
        </w:rPr>
        <w:t xml:space="preserve"> was filed thereafter.</w:t>
      </w:r>
    </w:p>
    <w:p w14:paraId="097B7F65" w14:textId="77777777" w:rsidR="00B45045" w:rsidRDefault="00FB0C29">
      <w:pPr>
        <w:widowControl w:val="0"/>
        <w:spacing w:before="200" w:line="260" w:lineRule="atLeast"/>
        <w:jc w:val="both"/>
      </w:pPr>
      <w:bookmarkStart w:id="20" w:name="Bookmark_para_11"/>
      <w:bookmarkEnd w:id="20"/>
      <w:r>
        <w:rPr>
          <w:rFonts w:ascii="Arial" w:eastAsia="Arial" w:hAnsi="Arial" w:cs="Arial"/>
          <w:color w:val="000000"/>
          <w:sz w:val="20"/>
        </w:rPr>
        <w:t>Charles contends that the trial judge abused his discretion in six respects: (1) by refusing to vacate the default; (2) by accepting plaintiff's proofs as true; (3) by calculating spousal support incorrectly and improperly imputing i</w:t>
      </w:r>
      <w:r>
        <w:rPr>
          <w:rFonts w:ascii="Arial" w:eastAsia="Arial" w:hAnsi="Arial" w:cs="Arial"/>
          <w:color w:val="000000"/>
          <w:sz w:val="20"/>
        </w:rPr>
        <w:t xml:space="preserve">ncome to Charles; (4) by not invoking the doctrine of laches; (5) by failing to equitably </w:t>
      </w:r>
      <w:r>
        <w:rPr>
          <w:rFonts w:ascii="Arial" w:eastAsia="Arial" w:hAnsi="Arial" w:cs="Arial"/>
          <w:b/>
          <w:color w:val="000000"/>
          <w:sz w:val="20"/>
        </w:rPr>
        <w:t> [*4] </w:t>
      </w:r>
      <w:r>
        <w:rPr>
          <w:rFonts w:ascii="Arial" w:eastAsia="Arial" w:hAnsi="Arial" w:cs="Arial"/>
          <w:color w:val="000000"/>
          <w:sz w:val="20"/>
        </w:rPr>
        <w:t>distribute the parties' assets; and (6) by awarding counsel fees to Adrianne.</w:t>
      </w:r>
    </w:p>
    <w:p w14:paraId="61D2E8FB" w14:textId="77777777" w:rsidR="00B45045" w:rsidRDefault="00FB0C29">
      <w:pPr>
        <w:widowControl w:val="0"/>
        <w:spacing w:before="240" w:line="260" w:lineRule="atLeast"/>
        <w:jc w:val="both"/>
      </w:pPr>
      <w:bookmarkStart w:id="21" w:name="Bookmark_para_12"/>
      <w:bookmarkEnd w:id="21"/>
      <w:r>
        <w:rPr>
          <w:rFonts w:ascii="Arial" w:eastAsia="Arial" w:hAnsi="Arial" w:cs="Arial"/>
          <w:color w:val="000000"/>
          <w:sz w:val="20"/>
        </w:rPr>
        <w:t>After carefully reviewing the record in light of the written arguments advanced by</w:t>
      </w:r>
      <w:r>
        <w:rPr>
          <w:rFonts w:ascii="Arial" w:eastAsia="Arial" w:hAnsi="Arial" w:cs="Arial"/>
          <w:color w:val="000000"/>
          <w:sz w:val="20"/>
        </w:rPr>
        <w:t xml:space="preserve"> Charles, we conclude that the issues presented are without sufficient merit to warrant extensive discussion in this opinion. </w:t>
      </w:r>
      <w:bookmarkStart w:id="22" w:name="Bookmark_I4XJ6NF20K1MNJ4T00000400"/>
      <w:bookmarkEnd w:id="22"/>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"https://advance.lexis.com/api/document?collection=statutes-legislation&amp;id=urn:contentItem:5TD9-9YG0-004F-J3MP-00000-</w:instrText>
      </w:r>
      <w:r>
        <w:rPr>
          <w:rFonts w:ascii="Arial" w:eastAsia="Arial" w:hAnsi="Arial" w:cs="Arial"/>
          <w:i/>
          <w:color w:val="0077CC"/>
          <w:sz w:val="20"/>
          <w:u w:val="single"/>
        </w:rPr>
        <w:instrText xml:space="preserve">00&amp;context=" </w:instrText>
      </w:r>
      <w:r>
        <w:rPr>
          <w:rFonts w:ascii="Arial" w:eastAsia="Arial" w:hAnsi="Arial" w:cs="Arial"/>
          <w:i/>
          <w:color w:val="0077CC"/>
          <w:sz w:val="20"/>
          <w:u w:val="single"/>
        </w:rPr>
        <w:fldChar w:fldCharType="separate"/>
      </w:r>
      <w:r>
        <w:rPr>
          <w:rFonts w:ascii="Arial" w:eastAsia="Arial" w:hAnsi="Arial" w:cs="Arial"/>
          <w:i/>
          <w:color w:val="0077CC"/>
          <w:sz w:val="20"/>
          <w:u w:val="single"/>
        </w:rPr>
        <w:t>R.</w:t>
      </w:r>
      <w:r>
        <w:rPr>
          <w:rFonts w:ascii="Arial" w:eastAsia="Arial" w:hAnsi="Arial" w:cs="Arial"/>
          <w:i/>
          <w:color w:val="0077CC"/>
          <w:sz w:val="20"/>
          <w:u w:val="single"/>
        </w:rPr>
        <w:fldChar w:fldCharType="end"/>
      </w:r>
      <w:hyperlink r:id="rId12" w:history="1">
        <w:r>
          <w:rPr>
            <w:rFonts w:ascii="Arial" w:eastAsia="Arial" w:hAnsi="Arial" w:cs="Arial"/>
            <w:i/>
            <w:color w:val="0077CC"/>
            <w:sz w:val="20"/>
            <w:u w:val="single"/>
          </w:rPr>
          <w:t xml:space="preserve"> 2:11-3(e)(1)(A)</w:t>
        </w:r>
      </w:hyperlink>
      <w:r>
        <w:rPr>
          <w:rFonts w:ascii="Arial" w:eastAsia="Arial" w:hAnsi="Arial" w:cs="Arial"/>
          <w:color w:val="000000"/>
          <w:sz w:val="20"/>
        </w:rPr>
        <w:t xml:space="preserve">, </w:t>
      </w:r>
      <w:hyperlink r:id="rId13" w:history="1">
        <w:r>
          <w:rPr>
            <w:rFonts w:ascii="Arial" w:eastAsia="Arial" w:hAnsi="Arial" w:cs="Arial"/>
            <w:i/>
            <w:color w:val="0077CC"/>
            <w:sz w:val="20"/>
            <w:u w:val="single"/>
          </w:rPr>
          <w:t>(E)</w:t>
        </w:r>
      </w:hyperlink>
      <w:r>
        <w:rPr>
          <w:rFonts w:ascii="Arial" w:eastAsia="Arial" w:hAnsi="Arial" w:cs="Arial"/>
          <w:color w:val="000000"/>
          <w:sz w:val="20"/>
        </w:rPr>
        <w:t xml:space="preserve">, and we affirm substantially for the reasons expressed by the trial judge in his written opinion delivered on August 26, 2005. The findings and conclusions of the judge are supported by </w:t>
      </w:r>
      <w:r>
        <w:rPr>
          <w:rFonts w:ascii="Arial" w:eastAsia="Arial" w:hAnsi="Arial" w:cs="Arial"/>
          <w:color w:val="000000"/>
          <w:sz w:val="20"/>
        </w:rPr>
        <w:t xml:space="preserve">substantial credible evidence in the record. </w:t>
      </w:r>
      <w:bookmarkStart w:id="23" w:name="Bookmark_I4XJ6NF20K1MNJ4SY0000400"/>
      <w:bookmarkEnd w:id="23"/>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"https://advance.lexis.com/api/document?collection=cases&amp;id=urn:contentItem:3RRM-XDM0-003C-N34X-00000-00&amp;context=" </w:instrText>
      </w:r>
      <w:r>
        <w:rPr>
          <w:rFonts w:ascii="Arial" w:eastAsia="Arial" w:hAnsi="Arial" w:cs="Arial"/>
          <w:i/>
          <w:color w:val="0077CC"/>
          <w:sz w:val="20"/>
          <w:u w:val="single"/>
        </w:rPr>
        <w:fldChar w:fldCharType="separate"/>
      </w:r>
      <w:proofErr w:type="spellStart"/>
      <w:r>
        <w:rPr>
          <w:rFonts w:ascii="Arial" w:eastAsia="Arial" w:hAnsi="Arial" w:cs="Arial"/>
          <w:i/>
          <w:color w:val="0077CC"/>
          <w:sz w:val="20"/>
          <w:u w:val="single"/>
        </w:rPr>
        <w:t>Rova</w:t>
      </w:r>
      <w:proofErr w:type="spellEnd"/>
      <w:r>
        <w:rPr>
          <w:rFonts w:ascii="Arial" w:eastAsia="Arial" w:hAnsi="Arial" w:cs="Arial"/>
          <w:i/>
          <w:color w:val="0077CC"/>
          <w:sz w:val="20"/>
          <w:u w:val="single"/>
        </w:rPr>
        <w:t xml:space="preserve"> Farms Resort, Inc. v. Investors Ins. Co.</w:t>
      </w:r>
      <w:r>
        <w:rPr>
          <w:rFonts w:ascii="Arial" w:eastAsia="Arial" w:hAnsi="Arial" w:cs="Arial"/>
          <w:i/>
          <w:color w:val="0077CC"/>
          <w:sz w:val="20"/>
          <w:u w:val="single"/>
        </w:rPr>
        <w:fldChar w:fldCharType="end"/>
      </w:r>
      <w:hyperlink r:id="rId14" w:history="1">
        <w:r>
          <w:rPr>
            <w:rFonts w:ascii="Arial" w:eastAsia="Arial" w:hAnsi="Arial" w:cs="Arial"/>
            <w:i/>
            <w:color w:val="0077CC"/>
            <w:sz w:val="20"/>
            <w:u w:val="single"/>
          </w:rPr>
          <w:t>, 65 N.J. 474, 483-84, 323 A.2d 495 (1974)</w:t>
        </w:r>
      </w:hyperlink>
      <w:r>
        <w:rPr>
          <w:rFonts w:ascii="Arial" w:eastAsia="Arial" w:hAnsi="Arial" w:cs="Arial"/>
          <w:color w:val="000000"/>
          <w:sz w:val="20"/>
        </w:rPr>
        <w:t>. However, we add the following.</w:t>
      </w:r>
    </w:p>
    <w:bookmarkStart w:id="24" w:name="Bookmark_para_13"/>
    <w:bookmarkEnd w:id="24"/>
    <w:p w14:paraId="7340D439" w14:textId="77777777" w:rsidR="00B45045" w:rsidRDefault="00FB0C29">
      <w:pPr>
        <w:widowControl w:val="0"/>
        <w:spacing w:before="240" w:line="260" w:lineRule="atLeast"/>
        <w:jc w:val="both"/>
      </w:pPr>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"https://advance.lexis.com/api/document?collection=statutes-legislation&amp;id=u</w:instrText>
      </w:r>
      <w:r>
        <w:rPr>
          <w:rFonts w:ascii="Arial" w:eastAsia="Arial" w:hAnsi="Arial" w:cs="Arial"/>
          <w:i/>
          <w:color w:val="0077CC"/>
          <w:sz w:val="20"/>
          <w:u w:val="single"/>
        </w:rPr>
        <w:instrText xml:space="preserve">rn:contentItem:5TD9-9YD0-004F-J2JC-00000-00&amp;context=" </w:instrText>
      </w:r>
      <w:r>
        <w:rPr>
          <w:rFonts w:ascii="Arial" w:eastAsia="Arial" w:hAnsi="Arial" w:cs="Arial"/>
          <w:i/>
          <w:color w:val="0077CC"/>
          <w:sz w:val="20"/>
          <w:u w:val="single"/>
        </w:rPr>
        <w:fldChar w:fldCharType="separate"/>
      </w:r>
      <w:r>
        <w:rPr>
          <w:rFonts w:ascii="Arial" w:eastAsia="Arial" w:hAnsi="Arial" w:cs="Arial"/>
          <w:i/>
          <w:color w:val="0077CC"/>
          <w:sz w:val="20"/>
          <w:u w:val="single"/>
        </w:rPr>
        <w:t>Rule</w:t>
      </w:r>
      <w:r>
        <w:rPr>
          <w:rFonts w:ascii="Arial" w:eastAsia="Arial" w:hAnsi="Arial" w:cs="Arial"/>
          <w:i/>
          <w:color w:val="0077CC"/>
          <w:sz w:val="20"/>
          <w:u w:val="single"/>
        </w:rPr>
        <w:fldChar w:fldCharType="end"/>
      </w:r>
      <w:hyperlink r:id="rId15" w:history="1">
        <w:r>
          <w:rPr>
            <w:rFonts w:ascii="Arial" w:eastAsia="Arial" w:hAnsi="Arial" w:cs="Arial"/>
            <w:i/>
            <w:color w:val="0077CC"/>
            <w:sz w:val="20"/>
            <w:u w:val="single"/>
          </w:rPr>
          <w:t xml:space="preserve"> 4:23-5(a)(1)</w:t>
        </w:r>
      </w:hyperlink>
      <w:r>
        <w:rPr>
          <w:rFonts w:ascii="Arial" w:eastAsia="Arial" w:hAnsi="Arial" w:cs="Arial"/>
          <w:color w:val="000000"/>
          <w:sz w:val="20"/>
        </w:rPr>
        <w:t xml:space="preserve"> requires counsel for a delinquent party</w:t>
      </w:r>
      <w:r>
        <w:rPr>
          <w:rFonts w:ascii="Arial" w:eastAsia="Arial" w:hAnsi="Arial" w:cs="Arial"/>
          <w:color w:val="000000"/>
          <w:sz w:val="20"/>
        </w:rPr>
        <w:t xml:space="preserve"> "[u]</w:t>
      </w:r>
      <w:proofErr w:type="spellStart"/>
      <w:r>
        <w:rPr>
          <w:rFonts w:ascii="Arial" w:eastAsia="Arial" w:hAnsi="Arial" w:cs="Arial"/>
          <w:color w:val="000000"/>
          <w:sz w:val="20"/>
        </w:rPr>
        <w:t>pon</w:t>
      </w:r>
      <w:proofErr w:type="spellEnd"/>
      <w:r>
        <w:rPr>
          <w:rFonts w:ascii="Arial" w:eastAsia="Arial" w:hAnsi="Arial" w:cs="Arial"/>
          <w:color w:val="000000"/>
          <w:sz w:val="20"/>
        </w:rPr>
        <w:t xml:space="preserve"> being served with [an] order of dismissal or suppression . . . [to] forthwith serve a copy of the order on the client by regular and certified mail, return receipt requested, accompanied by a notice in the form prescribed by Appendix II-F of these</w:t>
      </w:r>
      <w:r>
        <w:rPr>
          <w:rFonts w:ascii="Arial" w:eastAsia="Arial" w:hAnsi="Arial" w:cs="Arial"/>
          <w:color w:val="000000"/>
          <w:sz w:val="20"/>
        </w:rPr>
        <w:t xml:space="preserve"> rules." That notice should have been served by Charles' counsel on Charles in January 2005. No copy of that notice to Charles is included in the record on appeal.</w:t>
      </w:r>
    </w:p>
    <w:p w14:paraId="191A9641" w14:textId="77777777" w:rsidR="00B45045" w:rsidRDefault="00FB0C29">
      <w:pPr>
        <w:widowControl w:val="0"/>
        <w:spacing w:before="200" w:line="260" w:lineRule="atLeast"/>
        <w:jc w:val="both"/>
      </w:pPr>
      <w:bookmarkStart w:id="25" w:name="Bookmark_para_14"/>
      <w:bookmarkEnd w:id="25"/>
      <w:r>
        <w:rPr>
          <w:rFonts w:ascii="Arial" w:eastAsia="Arial" w:hAnsi="Arial" w:cs="Arial"/>
          <w:color w:val="000000"/>
          <w:sz w:val="20"/>
        </w:rPr>
        <w:t xml:space="preserve">Once the motion to dismiss with prejudice was filed, Charles' counsel was required </w:t>
      </w:r>
      <w:r>
        <w:rPr>
          <w:rFonts w:ascii="Arial" w:eastAsia="Arial" w:hAnsi="Arial" w:cs="Arial"/>
          <w:b/>
          <w:color w:val="000000"/>
          <w:sz w:val="20"/>
        </w:rPr>
        <w:t> [*5] </w:t>
      </w:r>
      <w:r>
        <w:rPr>
          <w:rFonts w:ascii="Arial" w:eastAsia="Arial" w:hAnsi="Arial" w:cs="Arial"/>
          <w:color w:val="000000"/>
          <w:sz w:val="20"/>
        </w:rPr>
        <w:t xml:space="preserve">to </w:t>
      </w:r>
      <w:r>
        <w:rPr>
          <w:rFonts w:ascii="Arial" w:eastAsia="Arial" w:hAnsi="Arial" w:cs="Arial"/>
          <w:color w:val="000000"/>
          <w:sz w:val="20"/>
        </w:rPr>
        <w:t xml:space="preserve">send a notice to Charles in the form provided in Appendix II-G of the pendency of the motion. </w:t>
      </w:r>
      <w:r>
        <w:rPr>
          <w:rFonts w:ascii="Arial" w:eastAsia="Arial" w:hAnsi="Arial" w:cs="Arial"/>
          <w:i/>
          <w:color w:val="000000"/>
          <w:sz w:val="20"/>
        </w:rPr>
        <w:t xml:space="preserve">See </w:t>
      </w:r>
      <w:hyperlink r:id="rId16" w:history="1">
        <w:r>
          <w:rPr>
            <w:rFonts w:ascii="Arial" w:eastAsia="Arial" w:hAnsi="Arial" w:cs="Arial"/>
            <w:i/>
            <w:color w:val="0077CC"/>
            <w:sz w:val="20"/>
            <w:u w:val="single"/>
          </w:rPr>
          <w:t>R.</w:t>
        </w:r>
      </w:hyperlink>
      <w:hyperlink r:id="rId17" w:history="1">
        <w:r>
          <w:rPr>
            <w:rFonts w:ascii="Arial" w:eastAsia="Arial" w:hAnsi="Arial" w:cs="Arial"/>
            <w:i/>
            <w:color w:val="0077CC"/>
            <w:sz w:val="20"/>
            <w:u w:val="single"/>
          </w:rPr>
          <w:t xml:space="preserve"> 4:23-5(a)(2)</w:t>
        </w:r>
      </w:hyperlink>
      <w:r>
        <w:rPr>
          <w:rFonts w:ascii="Arial" w:eastAsia="Arial" w:hAnsi="Arial" w:cs="Arial"/>
          <w:color w:val="000000"/>
          <w:sz w:val="20"/>
        </w:rPr>
        <w:t>. That notice to Charles is not included in the record on appeal. In addition, counsel was required to serve and file, no later than seven days prior to the return date of the motion, an affidavit reciting that Charles had previously been served with a not</w:t>
      </w:r>
      <w:r>
        <w:rPr>
          <w:rFonts w:ascii="Arial" w:eastAsia="Arial" w:hAnsi="Arial" w:cs="Arial"/>
          <w:color w:val="000000"/>
          <w:sz w:val="20"/>
        </w:rPr>
        <w:t xml:space="preserve">ice respecting the order of </w:t>
      </w:r>
      <w:r>
        <w:rPr>
          <w:rFonts w:ascii="Arial" w:eastAsia="Arial" w:hAnsi="Arial" w:cs="Arial"/>
          <w:color w:val="000000"/>
          <w:sz w:val="20"/>
        </w:rPr>
        <w:t xml:space="preserve">dismissal without prejudice and that Charles had been served with the additional notice required in advance of the ruling on the motion to dismiss or suppress with prejudice. </w:t>
      </w:r>
      <w:r>
        <w:rPr>
          <w:rFonts w:ascii="Arial" w:eastAsia="Arial" w:hAnsi="Arial" w:cs="Arial"/>
          <w:i/>
          <w:color w:val="000000"/>
          <w:sz w:val="20"/>
        </w:rPr>
        <w:t>See ibid.</w:t>
      </w:r>
      <w:r>
        <w:rPr>
          <w:rFonts w:ascii="Arial" w:eastAsia="Arial" w:hAnsi="Arial" w:cs="Arial"/>
          <w:color w:val="000000"/>
          <w:sz w:val="20"/>
        </w:rPr>
        <w:t xml:space="preserve"> That affidavit is not contained in the reco</w:t>
      </w:r>
      <w:r>
        <w:rPr>
          <w:rFonts w:ascii="Arial" w:eastAsia="Arial" w:hAnsi="Arial" w:cs="Arial"/>
          <w:color w:val="000000"/>
          <w:sz w:val="20"/>
        </w:rPr>
        <w:t xml:space="preserve">rd on appeal. Charles' counsel was required to appear on the return date of the motion to dismiss with prejudice on April 7, 2005, </w:t>
      </w:r>
      <w:r>
        <w:rPr>
          <w:rFonts w:ascii="Arial" w:eastAsia="Arial" w:hAnsi="Arial" w:cs="Arial"/>
          <w:i/>
          <w:color w:val="000000"/>
          <w:sz w:val="20"/>
        </w:rPr>
        <w:t>ibid.</w:t>
      </w:r>
      <w:r>
        <w:rPr>
          <w:rFonts w:ascii="Arial" w:eastAsia="Arial" w:hAnsi="Arial" w:cs="Arial"/>
          <w:color w:val="000000"/>
          <w:sz w:val="20"/>
        </w:rPr>
        <w:t>, but no transcript of the proceedings that day have been filed with the Appellate Division. There is no competent evide</w:t>
      </w:r>
      <w:r>
        <w:rPr>
          <w:rFonts w:ascii="Arial" w:eastAsia="Arial" w:hAnsi="Arial" w:cs="Arial"/>
          <w:color w:val="000000"/>
          <w:sz w:val="20"/>
        </w:rPr>
        <w:t>nce in the record that Charles did not receive the notices his counsel was required to serve upon him.</w:t>
      </w:r>
    </w:p>
    <w:p w14:paraId="2C0305B8" w14:textId="77777777" w:rsidR="00B45045" w:rsidRDefault="00FB0C29">
      <w:pPr>
        <w:widowControl w:val="0"/>
        <w:spacing w:before="200" w:line="260" w:lineRule="atLeast"/>
        <w:jc w:val="both"/>
      </w:pPr>
      <w:bookmarkStart w:id="26" w:name="Bookmark_para_15"/>
      <w:bookmarkEnd w:id="26"/>
      <w:r>
        <w:rPr>
          <w:rFonts w:ascii="Arial" w:eastAsia="Arial" w:hAnsi="Arial" w:cs="Arial"/>
          <w:color w:val="000000"/>
          <w:sz w:val="20"/>
        </w:rPr>
        <w:t>Over the next four months Charles did nothing to protect his interests in the divorce proceeding. Although he met with his attorney in July, he took no a</w:t>
      </w:r>
      <w:r>
        <w:rPr>
          <w:rFonts w:ascii="Arial" w:eastAsia="Arial" w:hAnsi="Arial" w:cs="Arial"/>
          <w:color w:val="000000"/>
          <w:sz w:val="20"/>
        </w:rPr>
        <w:t xml:space="preserve">ffirmative action at that time to secure any relief from the </w:t>
      </w:r>
      <w:r>
        <w:rPr>
          <w:rFonts w:ascii="Arial" w:eastAsia="Arial" w:hAnsi="Arial" w:cs="Arial"/>
          <w:b/>
          <w:color w:val="000000"/>
          <w:sz w:val="20"/>
        </w:rPr>
        <w:t> [*6] </w:t>
      </w:r>
      <w:r>
        <w:rPr>
          <w:rFonts w:ascii="Arial" w:eastAsia="Arial" w:hAnsi="Arial" w:cs="Arial"/>
          <w:color w:val="000000"/>
          <w:sz w:val="20"/>
        </w:rPr>
        <w:t xml:space="preserve">order of suppression with prejudice. He did not secure a report from a treating physician or examining physician. He did not file a written motion under </w:t>
      </w:r>
      <w:hyperlink r:id="rId18" w:history="1">
        <w:r>
          <w:rPr>
            <w:rFonts w:ascii="Arial" w:eastAsia="Arial" w:hAnsi="Arial" w:cs="Arial"/>
            <w:i/>
            <w:color w:val="0077CC"/>
            <w:sz w:val="20"/>
            <w:u w:val="single"/>
          </w:rPr>
          <w:t>R.</w:t>
        </w:r>
      </w:hyperlink>
      <w:hyperlink r:id="rId19" w:history="1">
        <w:r>
          <w:rPr>
            <w:rFonts w:ascii="Arial" w:eastAsia="Arial" w:hAnsi="Arial" w:cs="Arial"/>
            <w:i/>
            <w:color w:val="0077CC"/>
            <w:sz w:val="20"/>
            <w:u w:val="single"/>
          </w:rPr>
          <w:t xml:space="preserve"> 4</w:t>
        </w:r>
        <w:r>
          <w:rPr>
            <w:rFonts w:ascii="Arial" w:eastAsia="Arial" w:hAnsi="Arial" w:cs="Arial"/>
            <w:i/>
            <w:color w:val="0077CC"/>
            <w:sz w:val="20"/>
            <w:u w:val="single"/>
          </w:rPr>
          <w:t>:50-1</w:t>
        </w:r>
      </w:hyperlink>
      <w:r>
        <w:rPr>
          <w:rFonts w:ascii="Arial" w:eastAsia="Arial" w:hAnsi="Arial" w:cs="Arial"/>
          <w:color w:val="000000"/>
          <w:sz w:val="20"/>
        </w:rPr>
        <w:t xml:space="preserve"> seeking relief from the order of suppression with a brief in support of the application. The record does not disclose the precise date on which Charles and his attorney met during the month of July, but Charles clearly had more than adequate opportun</w:t>
      </w:r>
      <w:r>
        <w:rPr>
          <w:rFonts w:ascii="Arial" w:eastAsia="Arial" w:hAnsi="Arial" w:cs="Arial"/>
          <w:color w:val="000000"/>
          <w:sz w:val="20"/>
        </w:rPr>
        <w:t xml:space="preserve">ity between January 2005 and August 15, 2005, to protect his interests. He failed to do so. There was no </w:t>
      </w:r>
      <w:r>
        <w:rPr>
          <w:rFonts w:ascii="Arial" w:eastAsia="Arial" w:hAnsi="Arial" w:cs="Arial"/>
          <w:i/>
          <w:color w:val="000000"/>
          <w:sz w:val="20"/>
        </w:rPr>
        <w:t>competent</w:t>
      </w:r>
      <w:r>
        <w:rPr>
          <w:rFonts w:ascii="Arial" w:eastAsia="Arial" w:hAnsi="Arial" w:cs="Arial"/>
          <w:color w:val="000000"/>
          <w:sz w:val="20"/>
        </w:rPr>
        <w:t xml:space="preserve"> evidence in the record of any justifiable excuse. Clearly, the opinion of his attorney that Charles was clinically depressed had no evidentia</w:t>
      </w:r>
      <w:r>
        <w:rPr>
          <w:rFonts w:ascii="Arial" w:eastAsia="Arial" w:hAnsi="Arial" w:cs="Arial"/>
          <w:color w:val="000000"/>
          <w:sz w:val="20"/>
        </w:rPr>
        <w:t>l value whatsoever. Accordingly, we find no abuse of discretion in the trial judge's refusal to vacate the order suppressing Charles' defenses and in striking his answer with prejudice.</w:t>
      </w:r>
    </w:p>
    <w:p w14:paraId="0AFF2FF9" w14:textId="77777777" w:rsidR="00B45045" w:rsidRDefault="00FB0C29">
      <w:pPr>
        <w:widowControl w:val="0"/>
        <w:spacing w:before="240" w:line="260" w:lineRule="atLeast"/>
        <w:jc w:val="both"/>
      </w:pPr>
      <w:bookmarkStart w:id="27" w:name="Bookmark_para_16"/>
      <w:bookmarkStart w:id="28" w:name="Bookmark_I7H2P914907000FMGFH0008F"/>
      <w:bookmarkStart w:id="29" w:name="Bookmark_I4XJ6NF20K1MNJ4T20000400"/>
      <w:bookmarkEnd w:id="27"/>
      <w:bookmarkEnd w:id="28"/>
      <w:bookmarkEnd w:id="29"/>
      <w:r>
        <w:rPr>
          <w:rFonts w:ascii="Arial" w:eastAsia="Arial" w:hAnsi="Arial" w:cs="Arial"/>
          <w:color w:val="000000"/>
          <w:sz w:val="20"/>
        </w:rPr>
        <w:t>Our affirmance of the final judgment of divorce is without prejudice t</w:t>
      </w:r>
      <w:r>
        <w:rPr>
          <w:rFonts w:ascii="Arial" w:eastAsia="Arial" w:hAnsi="Arial" w:cs="Arial"/>
          <w:color w:val="000000"/>
          <w:sz w:val="20"/>
        </w:rPr>
        <w:t xml:space="preserve">o a properly supported application for relief from the financial aspects of the dissolution pursuant to </w:t>
      </w:r>
      <w:bookmarkStart w:id="30" w:name="Bookmark_I4XJ6NF20K1MNJ4T10000400"/>
      <w:bookmarkEnd w:id="30"/>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"https://advance.lexis.com/api/document?collection=cases&amp;id=urn:contentItem:3RRM-WXY0-003C-N1F6-00000-00&amp;context=" </w:instrText>
      </w:r>
      <w:r>
        <w:rPr>
          <w:rFonts w:ascii="Arial" w:eastAsia="Arial" w:hAnsi="Arial" w:cs="Arial"/>
          <w:i/>
          <w:color w:val="0077CC"/>
          <w:sz w:val="20"/>
          <w:u w:val="single"/>
        </w:rPr>
        <w:fldChar w:fldCharType="separate"/>
      </w:r>
      <w:proofErr w:type="spellStart"/>
      <w:r>
        <w:rPr>
          <w:rFonts w:ascii="Arial" w:eastAsia="Arial" w:hAnsi="Arial" w:cs="Arial"/>
          <w:i/>
          <w:color w:val="0077CC"/>
          <w:sz w:val="20"/>
          <w:u w:val="single"/>
        </w:rPr>
        <w:t>Lepis</w:t>
      </w:r>
      <w:proofErr w:type="spellEnd"/>
      <w:r>
        <w:rPr>
          <w:rFonts w:ascii="Arial" w:eastAsia="Arial" w:hAnsi="Arial" w:cs="Arial"/>
          <w:i/>
          <w:color w:val="0077CC"/>
          <w:sz w:val="20"/>
          <w:u w:val="single"/>
        </w:rPr>
        <w:t xml:space="preserve"> v. </w:t>
      </w:r>
      <w:proofErr w:type="spellStart"/>
      <w:r>
        <w:rPr>
          <w:rFonts w:ascii="Arial" w:eastAsia="Arial" w:hAnsi="Arial" w:cs="Arial"/>
          <w:i/>
          <w:color w:val="0077CC"/>
          <w:sz w:val="20"/>
          <w:u w:val="single"/>
        </w:rPr>
        <w:t>Lepis</w:t>
      </w:r>
      <w:proofErr w:type="spellEnd"/>
      <w:r>
        <w:rPr>
          <w:rFonts w:ascii="Arial" w:eastAsia="Arial" w:hAnsi="Arial" w:cs="Arial"/>
          <w:i/>
          <w:color w:val="0077CC"/>
          <w:sz w:val="20"/>
          <w:u w:val="single"/>
        </w:rPr>
        <w:fldChar w:fldCharType="end"/>
      </w:r>
      <w:hyperlink r:id="rId20" w:history="1">
        <w:r>
          <w:rPr>
            <w:rFonts w:ascii="Arial" w:eastAsia="Arial" w:hAnsi="Arial" w:cs="Arial"/>
            <w:i/>
            <w:color w:val="0077CC"/>
            <w:sz w:val="20"/>
            <w:u w:val="single"/>
          </w:rPr>
          <w:t>, 83 N.J. 139, 416 A.2d 45 (1980)</w:t>
        </w:r>
      </w:hyperlink>
      <w:r>
        <w:rPr>
          <w:rFonts w:ascii="Arial" w:eastAsia="Arial" w:hAnsi="Arial" w:cs="Arial"/>
          <w:color w:val="000000"/>
          <w:sz w:val="20"/>
        </w:rPr>
        <w:t>.</w:t>
      </w:r>
    </w:p>
    <w:p w14:paraId="7AE02BE9" w14:textId="77777777" w:rsidR="00B45045" w:rsidRDefault="00FB0C29">
      <w:pPr>
        <w:widowControl w:val="0"/>
        <w:spacing w:before="200" w:line="260" w:lineRule="atLeast"/>
        <w:jc w:val="both"/>
      </w:pPr>
      <w:bookmarkStart w:id="31" w:name="Bookmark_para_17"/>
      <w:bookmarkEnd w:id="31"/>
      <w:r>
        <w:rPr>
          <w:rFonts w:ascii="Arial" w:eastAsia="Arial" w:hAnsi="Arial" w:cs="Arial"/>
          <w:color w:val="000000"/>
          <w:sz w:val="20"/>
        </w:rPr>
        <w:t>Affirmed.</w:t>
      </w:r>
    </w:p>
    <w:p w14:paraId="05017C4A" w14:textId="77777777" w:rsidR="00B45045" w:rsidRDefault="00B45045"/>
    <w:p w14:paraId="2509D310" w14:textId="77777777" w:rsidR="00B45045" w:rsidRDefault="00FB0C29">
      <w:pPr>
        <w:ind w:left="200"/>
      </w:pPr>
      <w:r>
        <w:br/>
      </w:r>
      <w:r>
        <w:pict w14:anchorId="2B8C827A">
          <v:line id="_x0000_s1028" style="position:absolute;left:0;text-align:left;z-index:251660288;mso-position-horizontal-relative:text;mso-position-vertical-relative:text" from="0,10pt" to="512pt,10pt" strokeweight="1pt"/>
        </w:pict>
      </w:r>
      <w:r>
        <w:rPr>
          <w:b/>
          <w:color w:val="767676"/>
          <w:sz w:val="16"/>
        </w:rPr>
        <w:t>End of Document</w:t>
      </w:r>
    </w:p>
    <w:sectPr w:rsidR="00B45045">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C1F4" w14:textId="77777777" w:rsidR="00000000" w:rsidRDefault="00FB0C29">
      <w:r>
        <w:separator/>
      </w:r>
    </w:p>
  </w:endnote>
  <w:endnote w:type="continuationSeparator" w:id="0">
    <w:p w14:paraId="18275DFB" w14:textId="77777777" w:rsidR="00000000" w:rsidRDefault="00FB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B45045" w14:paraId="41B8A141" w14:textId="77777777">
      <w:trPr>
        <w:jc w:val="center"/>
      </w:trPr>
      <w:tc>
        <w:tcPr>
          <w:tcW w:w="2600" w:type="dxa"/>
          <w:tcMar>
            <w:top w:w="200" w:type="dxa"/>
          </w:tcMar>
          <w:vAlign w:val="center"/>
        </w:tcPr>
        <w:p w14:paraId="478551AC" w14:textId="77777777" w:rsidR="00B45045" w:rsidRDefault="00B45045"/>
      </w:tc>
      <w:tc>
        <w:tcPr>
          <w:tcW w:w="4880" w:type="dxa"/>
          <w:tcMar>
            <w:top w:w="200" w:type="dxa"/>
          </w:tcMar>
          <w:vAlign w:val="center"/>
        </w:tcPr>
        <w:p w14:paraId="609B1FAE" w14:textId="77777777" w:rsidR="00B45045" w:rsidRDefault="00B45045">
          <w:pPr>
            <w:jc w:val="center"/>
          </w:pPr>
        </w:p>
      </w:tc>
      <w:tc>
        <w:tcPr>
          <w:tcW w:w="2600" w:type="dxa"/>
          <w:tcMar>
            <w:top w:w="200" w:type="dxa"/>
          </w:tcMar>
          <w:vAlign w:val="center"/>
        </w:tcPr>
        <w:p w14:paraId="3A1B3B24" w14:textId="77777777" w:rsidR="00B45045" w:rsidRDefault="00B45045"/>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B1DD" w14:textId="77777777" w:rsidR="00B45045" w:rsidRDefault="00B45045">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653" w14:textId="77777777" w:rsidR="00000000" w:rsidRDefault="00FB0C29">
      <w:r>
        <w:separator/>
      </w:r>
    </w:p>
  </w:footnote>
  <w:footnote w:type="continuationSeparator" w:id="0">
    <w:p w14:paraId="0301F5BF" w14:textId="77777777" w:rsidR="00000000" w:rsidRDefault="00FB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B45045" w14:paraId="7DC341FA" w14:textId="77777777">
      <w:trPr>
        <w:jc w:val="center"/>
      </w:trPr>
      <w:tc>
        <w:tcPr>
          <w:tcW w:w="10080" w:type="dxa"/>
          <w:vAlign w:val="center"/>
        </w:tcPr>
        <w:p w14:paraId="607EDBCD" w14:textId="77777777" w:rsidR="00B45045" w:rsidRDefault="00FB0C29">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3</w:t>
          </w:r>
          <w:r>
            <w:rPr>
              <w:rFonts w:ascii="Arial" w:eastAsia="Arial" w:hAnsi="Arial" w:cs="Arial"/>
              <w:sz w:val="20"/>
            </w:rPr>
            <w:fldChar w:fldCharType="end"/>
          </w:r>
        </w:p>
      </w:tc>
    </w:tr>
    <w:tr w:rsidR="00B45045" w14:paraId="5E3E1D2A" w14:textId="77777777">
      <w:trPr>
        <w:jc w:val="center"/>
      </w:trPr>
      <w:tc>
        <w:tcPr>
          <w:tcW w:w="10080" w:type="dxa"/>
        </w:tcPr>
        <w:p w14:paraId="46C71359" w14:textId="77777777" w:rsidR="00B45045" w:rsidRDefault="00FB0C29">
          <w:pPr>
            <w:spacing w:before="60" w:after="200"/>
            <w:jc w:val="center"/>
          </w:pPr>
          <w:proofErr w:type="spellStart"/>
          <w:r>
            <w:rPr>
              <w:rFonts w:ascii="Arial" w:eastAsia="Arial" w:hAnsi="Arial" w:cs="Arial"/>
              <w:sz w:val="20"/>
            </w:rPr>
            <w:t>Hagaman</w:t>
          </w:r>
          <w:proofErr w:type="spellEnd"/>
          <w:r>
            <w:rPr>
              <w:rFonts w:ascii="Arial" w:eastAsia="Arial" w:hAnsi="Arial" w:cs="Arial"/>
              <w:sz w:val="20"/>
            </w:rPr>
            <w:t xml:space="preserve"> v. </w:t>
          </w:r>
          <w:proofErr w:type="spellStart"/>
          <w:r>
            <w:rPr>
              <w:rFonts w:ascii="Arial" w:eastAsia="Arial" w:hAnsi="Arial" w:cs="Arial"/>
              <w:sz w:val="20"/>
            </w:rPr>
            <w:t>Hagaman</w:t>
          </w:r>
          <w:proofErr w:type="spellEnd"/>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45045"/>
    <w:rsid w:val="00CA2A55"/>
    <w:rsid w:val="00FB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1FEC6F"/>
  <w15:docId w15:val="{71247AA6-264D-4F0E-9F5D-0D0C4E0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0C29"/>
    <w:pPr>
      <w:tabs>
        <w:tab w:val="center" w:pos="4680"/>
        <w:tab w:val="right" w:pos="9360"/>
      </w:tabs>
    </w:pPr>
  </w:style>
  <w:style w:type="character" w:customStyle="1" w:styleId="HeaderChar">
    <w:name w:val="Header Char"/>
    <w:basedOn w:val="DefaultParagraphFont"/>
    <w:link w:val="Header"/>
    <w:rsid w:val="00FB0C29"/>
    <w:rPr>
      <w:sz w:val="24"/>
      <w:szCs w:val="24"/>
    </w:rPr>
  </w:style>
  <w:style w:type="paragraph" w:styleId="Footer">
    <w:name w:val="footer"/>
    <w:basedOn w:val="Normal"/>
    <w:link w:val="FooterChar"/>
    <w:unhideWhenUsed/>
    <w:rsid w:val="00FB0C29"/>
    <w:pPr>
      <w:tabs>
        <w:tab w:val="center" w:pos="4680"/>
        <w:tab w:val="right" w:pos="9360"/>
      </w:tabs>
    </w:pPr>
  </w:style>
  <w:style w:type="character" w:customStyle="1" w:styleId="FooterChar">
    <w:name w:val="Footer Char"/>
    <w:basedOn w:val="DefaultParagraphFont"/>
    <w:link w:val="Footer"/>
    <w:rsid w:val="00FB0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dvance.lexis.com/api/document?collection=statutes-legislation&amp;id=urn:contentItem:5TD9-9YG0-004F-J3MP-00000-00&amp;context=" TargetMode="External"/><Relationship Id="rId18" Type="http://schemas.openxmlformats.org/officeDocument/2006/relationships/hyperlink" Target="https://advance.lexis.com/api/document?collection=statutes-legislation&amp;id=urn:contentItem:5TD9-9YF0-004F-J2PB-00000-00&amp;contex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advance.lexis.com/api/document?collection=statutes-legislation&amp;id=urn:contentItem:5TD9-9YG0-004F-J3MP-00000-00&amp;context=" TargetMode="External"/><Relationship Id="rId17" Type="http://schemas.openxmlformats.org/officeDocument/2006/relationships/hyperlink" Target="https://advance.lexis.com/api/document?collection=statutes-legislation&amp;id=urn:contentItem:5TD9-9YD0-004F-J2JC-00000-00&amp;context=" TargetMode="External"/><Relationship Id="rId2" Type="http://schemas.openxmlformats.org/officeDocument/2006/relationships/settings" Target="settings.xml"/><Relationship Id="rId16" Type="http://schemas.openxmlformats.org/officeDocument/2006/relationships/hyperlink" Target="https://advance.lexis.com/api/document?collection=statutes-legislation&amp;id=urn:contentItem:5TD9-9YD0-004F-J2JC-00000-00&amp;context=" TargetMode="External"/><Relationship Id="rId20" Type="http://schemas.openxmlformats.org/officeDocument/2006/relationships/hyperlink" Target="https://advance.lexis.com/api/document?collection=cases&amp;id=urn:contentItem:3RRM-WXY0-003C-N1F6-00000-00&amp;contex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dvance.lexis.com/api/document?collection=statutes-legislation&amp;id=urn:contentItem:5TD9-9YF0-004F-J2PB-00000-00&amp;context=" TargetMode="External"/><Relationship Id="rId5" Type="http://schemas.openxmlformats.org/officeDocument/2006/relationships/endnotes" Target="endnotes.xml"/><Relationship Id="rId15" Type="http://schemas.openxmlformats.org/officeDocument/2006/relationships/hyperlink" Target="https://advance.lexis.com/api/document?collection=statutes-legislation&amp;id=urn:contentItem:5TD9-9YD0-004F-J2JC-00000-00&amp;context=" TargetMode="External"/><Relationship Id="rId10" Type="http://schemas.openxmlformats.org/officeDocument/2006/relationships/hyperlink" Target="https://advance.lexis.com/api/document?collection=statutes-legislation&amp;id=urn:contentItem:5TD9-9YF0-004F-J2PB-00000-00&amp;context=" TargetMode="External"/><Relationship Id="rId19" Type="http://schemas.openxmlformats.org/officeDocument/2006/relationships/hyperlink" Target="https://advance.lexis.com/api/document?collection=statutes-legislation&amp;id=urn:contentItem:5TD9-9YF0-004F-J2PB-00000-00&amp;context=" TargetMode="External"/><Relationship Id="rId4" Type="http://schemas.openxmlformats.org/officeDocument/2006/relationships/footnotes" Target="footnotes.xml"/><Relationship Id="rId9" Type="http://schemas.openxmlformats.org/officeDocument/2006/relationships/hyperlink" Target="https://advance.lexis.com/api/document?collection=cases&amp;id=urn:contentItem:7WST-GM20-Y9NK-S0VG-00000-00&amp;context=" TargetMode="External"/><Relationship Id="rId14" Type="http://schemas.openxmlformats.org/officeDocument/2006/relationships/hyperlink" Target="https://advance.lexis.com/api/document?collection=cases&amp;id=urn:contentItem:3RRM-XDM0-003C-N34X-00000-00&amp;conte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Hagaman v. Hagaman</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Hagaman v. Hagaman</dc:title>
  <cp:lastModifiedBy>Ari Gourvitz</cp:lastModifiedBy>
  <cp:revision>2</cp:revision>
  <dcterms:created xsi:type="dcterms:W3CDTF">2018-10-05T17:03:00Z</dcterms:created>
  <dcterms:modified xsi:type="dcterms:W3CDTF">2018-10-05T17:03:00Z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74945310</vt:lpwstr>
  </property>
  <property fmtid="{D5CDD505-2E9C-101B-9397-08002B2CF9AE}" pid="3" name="LADocCount">
    <vt:i4>2</vt:i4>
  </property>
  <property fmtid="{D5CDD505-2E9C-101B-9397-08002B2CF9AE}" pid="4" name="UserPermID">
    <vt:lpwstr>urn:user:PA2072729</vt:lpwstr>
  </property>
</Properties>
</file>